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5616E2CF">
      <w:pPr>
        <w:pStyle w:val="2"/>
        <w:spacing w:before="0" w:beforeLines="0" w:beforeAutospacing="0" w:after="0" w:afterLines="0" w:afterAutospacing="0"/>
        <w:jc w:val="center"/>
        <w:rPr>
          <w:rFonts w:hint="eastAsia" w:ascii="Arial" w:hAnsi="Arial" w:eastAsia="微软雅黑" w:cs="Arial"/>
          <w:lang w:val="en-US" w:eastAsia="zh-CN"/>
        </w:rPr>
      </w:pPr>
      <w:r>
        <w:rPr>
          <w:rFonts w:hint="eastAsia" w:ascii="Arial" w:hAnsi="Arial" w:eastAsia="微软雅黑" w:cs="Arial"/>
          <w:lang w:val="en-US" w:eastAsia="zh-CN"/>
        </w:rPr>
        <w:t>TBC-MC3612C Series</w:t>
      </w:r>
    </w:p>
    <w:p w14:paraId="1C3FEA2A">
      <w:pPr>
        <w:pStyle w:val="2"/>
        <w:spacing w:before="0" w:beforeLines="0" w:beforeAutospacing="0" w:after="0" w:afterLines="0" w:afterAutospacing="0"/>
        <w:jc w:val="center"/>
        <w:rPr>
          <w:rFonts w:hint="default" w:ascii="Arial" w:hAnsi="Arial" w:eastAsia="微软雅黑" w:cs="Arial"/>
          <w:lang w:val="en-US" w:eastAsia="zh-CN"/>
        </w:rPr>
      </w:pPr>
      <w:r>
        <w:rPr>
          <w:rFonts w:hint="default" w:ascii="Arial" w:hAnsi="Arial" w:eastAsia="微软雅黑" w:cs="Arial"/>
          <w:lang w:val="en-US" w:eastAsia="zh-CN"/>
        </w:rPr>
        <w:t>Gigabit</w:t>
      </w:r>
      <w:r>
        <w:rPr>
          <w:rFonts w:hint="eastAsia" w:ascii="Arial" w:hAnsi="Arial" w:eastAsia="微软雅黑" w:cs="Arial"/>
          <w:lang w:val="en-US" w:eastAsia="zh-CN"/>
        </w:rPr>
        <w:t xml:space="preserve"> </w:t>
      </w:r>
      <w:r>
        <w:rPr>
          <w:rFonts w:hint="default" w:ascii="Arial" w:hAnsi="Arial" w:eastAsia="微软雅黑" w:cs="Arial"/>
          <w:lang w:val="en-US" w:eastAsia="zh-CN"/>
        </w:rPr>
        <w:t>Fiber Media Converter</w:t>
      </w:r>
      <w:r>
        <w:rPr>
          <w:rFonts w:hint="eastAsia" w:ascii="Arial" w:hAnsi="Arial" w:eastAsia="微软雅黑" w:cs="Arial"/>
          <w:lang w:val="en-US" w:eastAsia="zh-CN"/>
        </w:rPr>
        <w:t xml:space="preserve"> Datasheet</w:t>
      </w:r>
    </w:p>
    <w:p w14:paraId="01D89AF7">
      <w:pPr>
        <w:pStyle w:val="14"/>
        <w:spacing w:before="315" w:beforeLines="100" w:beforeAutospacing="0" w:afterAutospacing="0" w:line="360" w:lineRule="auto"/>
        <w:ind w:firstLine="0" w:firstLineChars="0"/>
        <w:outlineLvl w:val="1"/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▼Product Overview</w:t>
      </w:r>
    </w:p>
    <w:p w14:paraId="167BEC0E">
      <w:pPr>
        <w:pStyle w:val="6"/>
        <w:keepNext w:val="0"/>
        <w:keepLines w:val="0"/>
        <w:widowControl/>
        <w:suppressLineNumbers w:val="0"/>
        <w:spacing w:before="0" w:beforeAutospacing="0"/>
        <w:rPr>
          <w:rFonts w:hint="default" w:ascii="Arial" w:hAnsi="Arial" w:eastAsia="微软雅黑" w:cs="Arial"/>
          <w:sz w:val="21"/>
          <w:szCs w:val="21"/>
        </w:rPr>
      </w:pPr>
      <w:r>
        <w:rPr>
          <w:rFonts w:hint="default" w:ascii="Arial" w:hAnsi="Arial" w:eastAsia="微软雅黑" w:cs="Arial"/>
          <w:sz w:val="21"/>
          <w:szCs w:val="21"/>
        </w:rPr>
        <w:t xml:space="preserve">The </w:t>
      </w:r>
      <w:r>
        <w:rPr>
          <w:rFonts w:hint="eastAsia" w:ascii="Arial" w:hAnsi="Arial" w:eastAsia="微软雅黑" w:cs="Arial"/>
          <w:sz w:val="21"/>
          <w:szCs w:val="21"/>
          <w:lang w:eastAsia="zh-CN"/>
        </w:rPr>
        <w:t>TBC-MC3612C Series</w:t>
      </w:r>
      <w:r>
        <w:rPr>
          <w:rFonts w:hint="default" w:ascii="Arial" w:hAnsi="Arial" w:eastAsia="微软雅黑" w:cs="Arial"/>
          <w:sz w:val="21"/>
          <w:szCs w:val="21"/>
        </w:rPr>
        <w:t xml:space="preserve"> is a 10/100/1000Mbps auto-negotiation Gigabit Fiber Media Converter equipped with one 10/100/1000Base-T auto-negotiation RJ45 electrical port and one 1000Base-X SC optical port. It supports IEEE 802.3, IEEE 802.3u, IEEE 802.3ab and other standards.The product adopts an imported low-power Marvell main chip solution from the United States and provides stable and reliable HD network signal transmission through in-house software optimization for network data transmission. Featuring a plug-in card design, these media converter cards are intended for installation in compatible 16-slot media converter chassis and supported card-type units. They provide a space-efficient and flexible solution for fiber-optic network expansion, helping integrate copper Ethernet devices with fiber-optic infrastructure in enterprise networks, campus networks, telecommunications systems, and other Ethernet connectivity applications.</w:t>
      </w:r>
    </w:p>
    <w:p w14:paraId="28A16D00">
      <w:pPr>
        <w:pStyle w:val="14"/>
        <w:spacing w:beforeAutospacing="0" w:afterAutospacing="0" w:line="20" w:lineRule="atLeast"/>
        <w:ind w:firstLine="0" w:firstLineChars="0"/>
        <w:outlineLvl w:val="1"/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▼Product Images</w:t>
      </w:r>
    </w:p>
    <w:p w14:paraId="49F750AC">
      <w:pPr>
        <w:spacing w:beforeLines="50" w:afterLines="50" w:line="80" w:lineRule="atLeast"/>
        <w:jc w:val="center"/>
        <w:outlineLvl w:val="0"/>
        <w:rPr>
          <w:rFonts w:hint="eastAsia" w:ascii="Arial" w:hAnsi="Arial" w:cs="Arial" w:eastAsiaTheme="minorEastAsia"/>
          <w:b/>
          <w:color w:val="ED7D31" w:themeColor="accent2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Arial" w:hAnsi="Arial" w:cs="Arial" w:eastAsiaTheme="minorEastAsia"/>
          <w:b/>
          <w:color w:val="ED7D31" w:themeColor="accent2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5530850" cy="3296920"/>
            <wp:effectExtent l="0" t="0" r="12700" b="17780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6"/>
                    <a:srcRect t="22166" b="18234"/>
                    <a:stretch>
                      <a:fillRect/>
                    </a:stretch>
                  </pic:blipFill>
                  <pic:spPr>
                    <a:xfrm>
                      <a:off x="0" y="0"/>
                      <a:ext cx="5530850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5B58A">
      <w:pPr>
        <w:pStyle w:val="14"/>
        <w:spacing w:beforeAutospacing="0" w:afterAutospacing="0" w:line="360" w:lineRule="auto"/>
        <w:ind w:firstLine="0" w:firstLineChars="0"/>
        <w:outlineLvl w:val="1"/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▼Product Features</w:t>
      </w:r>
    </w:p>
    <w:p w14:paraId="526219B6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Supports 10/100/1000Mbps Ethernet auto-negotiation to accommodate different network devices and Gigabit Ethernet access requirements.</w:t>
      </w:r>
    </w:p>
    <w:p w14:paraId="1966B758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Adopts WDM technology to enable bidirectional data transmission over a single single-mode fiber, reducing fiber deployment costs and saving fiber resources.</w:t>
      </w:r>
    </w:p>
    <w:p w14:paraId="312302B4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Supports transmission distances of up to 180km, depending on the model and optical specifications, making it suitable for long-distance Ethernet fiber transmission.</w:t>
      </w:r>
    </w:p>
    <w:p w14:paraId="3381A197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Supports multiple optical interface options, including SC, FC, LC, and ST, to meet different fiber connection requirements.</w:t>
      </w:r>
    </w:p>
    <w:p w14:paraId="458A4113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Uses wavelength division multiplexing with complementary transmit and receive wavelengths, such as 1310nm/1550nm, for bidirectional transmission over a single fiber on compatible A/B models.</w:t>
      </w:r>
    </w:p>
    <w:p w14:paraId="453EC2DE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Provides one 10/100/1000Base-T RJ45 electrical port and one 1000Base-X optical port for Ethernet-to-fiber and fiber-to-Ethernet signal conversion.</w:t>
      </w:r>
    </w:p>
    <w:p w14:paraId="2126E08A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Supports automatic negotiation of Ethernet port speed and duplex mode to ensure compatibility with different network devices.</w:t>
      </w:r>
    </w:p>
    <w:p w14:paraId="54289C8E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Supports automatic MDI/MDIX detection for straight-through and crossover Ethernet cables, simplifying network installation.</w:t>
      </w:r>
    </w:p>
    <w:p w14:paraId="7A9784D7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Supports IEEE 802.3x full-duplex flow control to help improve data transmission stability.</w:t>
      </w:r>
    </w:p>
    <w:p w14:paraId="2FA55B8F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Features a plug-in card design compatible with the matching 16-slot media converter chassis and compatible card-type media converter units, enabling flexible deployment, centralized installation, and convenient maintenance.</w:t>
      </w:r>
    </w:p>
    <w:p w14:paraId="55AC269C">
      <w:pPr>
        <w:pStyle w:val="1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="420" w:leftChars="0" w:hanging="420" w:firstLine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>Suitable for centralized fiber access and long-distance network connectivity in video surveillance, enterprise networks, building networks, campus networks, FTTB, and other Ethernet fiber transmission applications.</w:t>
      </w:r>
    </w:p>
    <w:p w14:paraId="4F2F6570">
      <w:pPr>
        <w:pStyle w:val="1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beforeAutospacing="0" w:afterAutospacing="0" w:line="300" w:lineRule="exact"/>
        <w:ind w:leftChars="0"/>
        <w:textAlignment w:val="auto"/>
        <w:outlineLvl w:val="1"/>
        <w:rPr>
          <w:rFonts w:hint="eastAsia" w:ascii="Arial" w:hAnsi="Arial" w:eastAsia="微软雅黑" w:cs="Arial"/>
          <w:sz w:val="21"/>
          <w:szCs w:val="21"/>
          <w:lang w:val="en-US" w:eastAsia="zh-CN"/>
        </w:rPr>
      </w:pPr>
    </w:p>
    <w:p w14:paraId="49697996">
      <w:pPr>
        <w:pStyle w:val="14"/>
        <w:spacing w:before="159" w:beforeLines="50" w:beforeAutospacing="0" w:afterAutospacing="0" w:line="20" w:lineRule="atLeast"/>
        <w:ind w:firstLine="0" w:firstLineChars="0"/>
        <w:outlineLvl w:val="1"/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▼</w:t>
      </w:r>
      <w:r>
        <w:rPr>
          <w:rFonts w:hint="default" w:ascii="Arial" w:hAnsi="Arial" w:eastAsia="等线" w:cs="Arial"/>
          <w:b/>
          <w:bCs/>
          <w:color w:val="ED7D31"/>
          <w:sz w:val="24"/>
          <w:szCs w:val="24"/>
          <w:lang w:val="en-US" w:eastAsia="zh-CN"/>
        </w:rPr>
        <w:t>Technical Specifications</w:t>
      </w:r>
    </w:p>
    <w:tbl>
      <w:tblPr>
        <w:tblStyle w:val="7"/>
        <w:tblW w:w="9921" w:type="dxa"/>
        <w:tblInd w:w="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2376"/>
        <w:gridCol w:w="7545"/>
      </w:tblGrid>
      <w:tr w14:paraId="5A78A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70CD64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Item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50DCC5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Specification</w:t>
            </w:r>
          </w:p>
        </w:tc>
      </w:tr>
      <w:tr w14:paraId="7BFE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1CD4CA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Product Model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2CF804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TBC-MC3612C Series</w:t>
            </w:r>
          </w:p>
        </w:tc>
      </w:tr>
      <w:tr w14:paraId="70255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411910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Product Type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522879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10/100/1000Mbps Auto-Negotiation Gigabit Fiber Media Converter</w:t>
            </w:r>
          </w:p>
        </w:tc>
      </w:tr>
      <w:tr w14:paraId="6CC3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10983F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Network Standards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5668A4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IEEE 802.3, IEEE 802.3i, IEEE 802.3u, IEEE 802.3ab, IEEE 802.3z, IEEE 802.3x</w:t>
            </w:r>
          </w:p>
        </w:tc>
      </w:tr>
      <w:tr w14:paraId="740C5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153E58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Transmission Rate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56FA0C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Electrical Port: 10/100/1000Mbps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;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Optical Port: 1.25Gbps</w:t>
            </w:r>
          </w:p>
        </w:tc>
      </w:tr>
      <w:tr w14:paraId="507EB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37856A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Fixed Interfaces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4BDFE3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Electrical Port: 1 × 10/100/1000Base-T Auto-Negotiation RJ45 Port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;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Optical Port: 1 × 1000Base-X Optical Port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;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SC, FC, LC, ST (model-dependent)</w:t>
            </w:r>
          </w:p>
        </w:tc>
      </w:tr>
      <w:tr w14:paraId="6FDDD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0499DF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Fiber Type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40BD8F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Multimode dual-fiber</w:t>
            </w:r>
          </w:p>
          <w:p w14:paraId="5395F1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Single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mode dual-fiber</w:t>
            </w:r>
          </w:p>
          <w:p w14:paraId="17EB21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Single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mode single-fiber</w:t>
            </w:r>
          </w:p>
        </w:tc>
      </w:tr>
      <w:tr w14:paraId="10D36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0CF8A3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Transmission Distance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0E13DD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Up to 180km, depending on the model and optical specifications</w:t>
            </w:r>
          </w:p>
        </w:tc>
      </w:tr>
      <w:tr w14:paraId="785EC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4C73ED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Operating Wavelength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77E9DC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1310nm / 1550nm</w:t>
            </w:r>
          </w:p>
        </w:tc>
      </w:tr>
      <w:tr w14:paraId="3542F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62B702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Port Features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178D42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Supports full-duplex/half-duplex auto-negotiation and automatic MDI/MDIX on the electrical port;Supports IEEE 802.3x full-duplex flow control</w:t>
            </w:r>
          </w:p>
        </w:tc>
      </w:tr>
      <w:tr w14:paraId="452E2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91" w:hRule="atLeast"/>
        </w:trPr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090259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Housing Material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35EDE5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Steel Alloy</w:t>
            </w:r>
          </w:p>
        </w:tc>
      </w:tr>
      <w:tr w14:paraId="38315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245FDC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Installation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34EEE1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  <w:t>Plug-in Card Design; Compatible with the Matching 16-Slot Media Converter Chassis and Compatible Card-Type Media Converter Units</w:t>
            </w:r>
          </w:p>
        </w:tc>
      </w:tr>
      <w:tr w14:paraId="113B4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2CA446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Fiber Specifications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11D3CF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Multimode Fiber: 50/125μm or 62.5/125μm;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9/125μm Single-Mode Fiber (Compatible with 8.3/125μm, 8.7/125μm, and 10/125μm)</w:t>
            </w:r>
          </w:p>
        </w:tc>
      </w:tr>
      <w:tr w14:paraId="7FAB6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3BD4E6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LED Indicators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60310C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100M, 1000M, FX/ACT, TP/ACT, PWR, FDX</w:t>
            </w:r>
          </w:p>
        </w:tc>
      </w:tr>
      <w:tr w14:paraId="4766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453F01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Power Supply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4F55A2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DC 5V 2A</w:t>
            </w:r>
          </w:p>
        </w:tc>
      </w:tr>
      <w:tr w14:paraId="06290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481D08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Power Consumption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730B2B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≤5W</w:t>
            </w:r>
          </w:p>
        </w:tc>
      </w:tr>
      <w:tr w14:paraId="7B9BB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4B49D5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Operating Environment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16B5A5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Operating Temperature: -20°C to 65°C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;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Storage Temperature: -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 xml:space="preserve">0°C to 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75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°C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;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Operating Humidity: 5%–90% RH, Non-Condensing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;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Storage Humidity: 5%–95% RH, Non-Condensing</w:t>
            </w:r>
          </w:p>
        </w:tc>
      </w:tr>
      <w:tr w14:paraId="4B236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64824A2C">
            <w:pPr>
              <w:autoSpaceDN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Arial" w:hAnsi="Arial" w:cs="Arial"/>
                <w:b/>
                <w:bCs/>
                <w:i w:val="0"/>
                <w:snapToGrid/>
                <w:color w:val="000000"/>
                <w:sz w:val="20"/>
                <w:szCs w:val="20"/>
                <w:u w:val="none"/>
              </w:rPr>
              <w:t>MTBF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782D2BC0">
            <w:pPr>
              <w:autoSpaceDN w:val="0"/>
              <w:textAlignment w:val="center"/>
              <w:rPr>
                <w:rFonts w:hint="eastAsia" w:ascii="Arial" w:hAnsi="Arial" w:cs="Arial" w:eastAsia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&gt;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0000</w:t>
            </w:r>
            <w:r>
              <w:rPr>
                <w:rFonts w:hint="eastAsia" w:ascii="Arial" w:hAnsi="Arial" w:cs="Arial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/>
                <w:i w:val="0"/>
                <w:snapToGrid/>
                <w:color w:val="000000"/>
                <w:sz w:val="20"/>
                <w:szCs w:val="20"/>
                <w:u w:val="none"/>
              </w:rPr>
              <w:t>Hours</w:t>
            </w:r>
          </w:p>
        </w:tc>
      </w:tr>
      <w:tr w14:paraId="54F9D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39A7F3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Dimensions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5E67ED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114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 xml:space="preserve"> × 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87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 xml:space="preserve"> × 26mm</w:t>
            </w:r>
          </w:p>
        </w:tc>
      </w:tr>
      <w:tr w14:paraId="28C79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76203B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Weight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29103A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≤0.4kg</w:t>
            </w:r>
          </w:p>
        </w:tc>
      </w:tr>
      <w:tr w14:paraId="34DBB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696962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Certifications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7AE0BD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微软雅黑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CE, FCC, RoHS</w:t>
            </w:r>
          </w:p>
        </w:tc>
      </w:tr>
      <w:tr w14:paraId="1020B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2376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266489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Warranty</w:t>
            </w:r>
          </w:p>
        </w:tc>
        <w:tc>
          <w:tcPr>
            <w:tcW w:w="7545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113" w:type="dxa"/>
              <w:bottom w:w="17" w:type="dxa"/>
              <w:right w:w="17" w:type="dxa"/>
            </w:tcMar>
            <w:vAlign w:val="center"/>
          </w:tcPr>
          <w:p w14:paraId="5269A0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 xml:space="preserve"> Years</w:t>
            </w:r>
          </w:p>
        </w:tc>
      </w:tr>
    </w:tbl>
    <w:p w14:paraId="002F2489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240" w:lineRule="auto"/>
        <w:ind w:firstLine="0" w:firstLineChars="0"/>
        <w:textAlignment w:val="auto"/>
        <w:outlineLvl w:val="1"/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</w:pPr>
    </w:p>
    <w:p w14:paraId="0A55309E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240" w:lineRule="auto"/>
        <w:ind w:firstLine="0" w:firstLineChars="0"/>
        <w:textAlignment w:val="auto"/>
        <w:outlineLvl w:val="1"/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▼ LED Indicator Description</w:t>
      </w:r>
    </w:p>
    <w:p w14:paraId="1598055E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240" w:lineRule="auto"/>
        <w:ind w:firstLine="0" w:firstLineChars="0"/>
        <w:jc w:val="center"/>
        <w:textAlignment w:val="auto"/>
        <w:outlineLvl w:val="1"/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</w:pPr>
      <w:r>
        <w:drawing>
          <wp:inline distT="0" distB="0" distL="114300" distR="114300">
            <wp:extent cx="4104005" cy="1174750"/>
            <wp:effectExtent l="0" t="0" r="10795" b="635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04005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7"/>
        <w:tblW w:w="99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2231"/>
        <w:gridCol w:w="1121"/>
        <w:gridCol w:w="6569"/>
      </w:tblGrid>
      <w:tr w14:paraId="2F2E6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  <w:jc w:val="center"/>
        </w:trPr>
        <w:tc>
          <w:tcPr>
            <w:tcW w:w="2231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4CB6CE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LED Indicator</w:t>
            </w: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5AD0B7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Status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DEEBF6" w:themeFill="accent1" w:themeFillTint="32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766D37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Description</w:t>
            </w:r>
          </w:p>
        </w:tc>
      </w:tr>
      <w:tr w14:paraId="791E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25C427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PWR</w:t>
            </w: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62BFD2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2C654F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Power is connected normally</w:t>
            </w:r>
          </w:p>
        </w:tc>
      </w:tr>
      <w:tr w14:paraId="26C62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531990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100M</w:t>
            </w: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77927A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5EB644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The RJ45 port is connected at 100Mbps</w:t>
            </w:r>
          </w:p>
        </w:tc>
      </w:tr>
      <w:tr w14:paraId="36BB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1CAE975F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01E146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Off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404FCE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The RJ45 port is not connected at 100Mbps</w:t>
            </w:r>
          </w:p>
        </w:tc>
      </w:tr>
      <w:tr w14:paraId="3320E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755F37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1000M</w:t>
            </w: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1A8109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22C9B7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The RJ45 port is connected at 1000Mbps</w:t>
            </w:r>
          </w:p>
        </w:tc>
      </w:tr>
      <w:tr w14:paraId="2A084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7D0B2757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5A0309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Off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0C769F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The RJ45 port is not connected at 1000Mbps</w:t>
            </w:r>
          </w:p>
        </w:tc>
      </w:tr>
      <w:tr w14:paraId="040B4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6311F9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TP/ACT</w:t>
            </w: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3EF031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22EDC8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The RJ45 port link is established</w:t>
            </w:r>
          </w:p>
        </w:tc>
      </w:tr>
      <w:tr w14:paraId="27F34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48697A40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72E0CA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Flashing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54EE74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The RJ45 port is transmitting or receiving data</w:t>
            </w:r>
          </w:p>
        </w:tc>
      </w:tr>
      <w:tr w14:paraId="3169B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50B564E4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39B555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Off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66BC67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No link is established on the RJ45 port</w:t>
            </w:r>
          </w:p>
        </w:tc>
      </w:tr>
      <w:tr w14:paraId="5BB56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2749C5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FX/ACT</w:t>
            </w: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4B3474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5C8785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The fiber port link is established</w:t>
            </w:r>
          </w:p>
        </w:tc>
      </w:tr>
      <w:tr w14:paraId="2CA7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6CA50F97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643B93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Flashing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54DB94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The fiber port is transmitting or receiving data</w:t>
            </w:r>
          </w:p>
        </w:tc>
      </w:tr>
      <w:tr w14:paraId="6741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62077533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5F53C2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Off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7F3812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No link is established on the fiber port</w:t>
            </w:r>
          </w:p>
        </w:tc>
      </w:tr>
      <w:tr w14:paraId="729E4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79E366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FDX</w:t>
            </w: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798D7B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089705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The current port is operating in full-duplex mode</w:t>
            </w:r>
          </w:p>
        </w:tc>
      </w:tr>
      <w:tr w14:paraId="487A2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jc w:val="center"/>
        </w:trPr>
        <w:tc>
          <w:tcPr>
            <w:tcW w:w="223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192941E1">
            <w:pPr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733F00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Off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7" w:type="dxa"/>
              <w:left w:w="85" w:type="dxa"/>
              <w:bottom w:w="17" w:type="dxa"/>
              <w:right w:w="17" w:type="dxa"/>
            </w:tcMar>
            <w:vAlign w:val="center"/>
          </w:tcPr>
          <w:p w14:paraId="43EBCB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The current port is operating in half-duplex mode</w:t>
            </w:r>
          </w:p>
        </w:tc>
      </w:tr>
    </w:tbl>
    <w:p w14:paraId="29396C27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240" w:lineRule="auto"/>
        <w:ind w:firstLine="0" w:firstLineChars="0"/>
        <w:textAlignment w:val="auto"/>
        <w:outlineLvl w:val="1"/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</w:pPr>
    </w:p>
    <w:p w14:paraId="74920495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240" w:lineRule="auto"/>
        <w:ind w:firstLine="0" w:firstLineChars="0"/>
        <w:textAlignment w:val="auto"/>
        <w:outlineLvl w:val="1"/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</w:pPr>
      <w:bookmarkStart w:id="2" w:name="_GoBack"/>
      <w:bookmarkEnd w:id="2"/>
      <w:r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▼Packaging List</w:t>
      </w:r>
    </w:p>
    <w:tbl>
      <w:tblPr>
        <w:tblStyle w:val="7"/>
        <w:tblpPr w:leftFromText="180" w:rightFromText="180" w:vertAnchor="text" w:horzAnchor="page" w:tblpX="1059" w:tblpY="95"/>
        <w:tblW w:w="99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5938"/>
        <w:gridCol w:w="647"/>
        <w:gridCol w:w="1121"/>
      </w:tblGrid>
      <w:tr w14:paraId="00D1A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215" w:type="dxa"/>
            <w:vMerge w:val="restart"/>
            <w:tcBorders>
              <w:tl2br w:val="nil"/>
              <w:tr2bl w:val="nil"/>
            </w:tcBorders>
            <w:shd w:val="clear" w:color="000000" w:fill="DEEAF6" w:themeFill="accent1" w:themeFillTint="33"/>
            <w:vAlign w:val="center"/>
          </w:tcPr>
          <w:p w14:paraId="50954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Autospacing="0" w:line="400" w:lineRule="exact"/>
              <w:jc w:val="center"/>
              <w:textAlignment w:val="auto"/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  <w:lang w:val="en-US" w:eastAsia="zh-CN"/>
              </w:rPr>
              <w:t>P</w:t>
            </w:r>
            <w:r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</w:rPr>
              <w:t>acking list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shd w:val="clear" w:color="auto" w:fill="DEEAF6" w:themeFill="accent1" w:themeFillTint="33"/>
            <w:vAlign w:val="center"/>
          </w:tcPr>
          <w:p w14:paraId="26148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</w:rPr>
              <w:t>Item Name</w:t>
            </w:r>
          </w:p>
        </w:tc>
        <w:tc>
          <w:tcPr>
            <w:tcW w:w="647" w:type="dxa"/>
            <w:tcBorders>
              <w:tl2br w:val="nil"/>
              <w:tr2bl w:val="nil"/>
            </w:tcBorders>
            <w:shd w:val="clear" w:color="auto" w:fill="DEEAF6" w:themeFill="accent1" w:themeFillTint="33"/>
            <w:vAlign w:val="center"/>
          </w:tcPr>
          <w:p w14:paraId="2D2ED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  <w:lang w:val="en-US" w:eastAsia="zh-CN"/>
              </w:rPr>
              <w:t>U</w:t>
            </w:r>
            <w:r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</w:rPr>
              <w:t>nit</w:t>
            </w: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DEEAF6" w:themeFill="accent1" w:themeFillTint="33"/>
            <w:vAlign w:val="center"/>
          </w:tcPr>
          <w:p w14:paraId="2937D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  <w:lang w:val="en-US" w:eastAsia="zh-CN"/>
              </w:rPr>
              <w:t>Q</w:t>
            </w:r>
            <w:r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</w:rPr>
              <w:t>uantity</w:t>
            </w:r>
          </w:p>
        </w:tc>
      </w:tr>
      <w:tr w14:paraId="5CE35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215" w:type="dxa"/>
            <w:vMerge w:val="continue"/>
            <w:tcBorders>
              <w:tl2br w:val="nil"/>
              <w:tr2bl w:val="nil"/>
            </w:tcBorders>
            <w:shd w:val="clear" w:color="000000" w:fill="DEEAF6" w:themeFill="accent1" w:themeFillTint="33"/>
            <w:vAlign w:val="center"/>
          </w:tcPr>
          <w:p w14:paraId="36045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</w:rPr>
            </w:pPr>
          </w:p>
        </w:tc>
        <w:tc>
          <w:tcPr>
            <w:tcW w:w="59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AD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Arial" w:hAnsi="Arial" w:eastAsia="微软雅黑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微软雅黑" w:cs="Arial"/>
                <w:kern w:val="0"/>
                <w:sz w:val="20"/>
                <w:szCs w:val="20"/>
                <w:lang w:val="en-US" w:eastAsia="zh-CN"/>
              </w:rPr>
              <w:t>Gigabit</w:t>
            </w:r>
            <w:r>
              <w:rPr>
                <w:rFonts w:hint="eastAsia" w:ascii="Arial" w:hAnsi="Arial" w:eastAsia="微软雅黑" w:cs="Arial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微软雅黑" w:cs="Arial"/>
                <w:kern w:val="0"/>
                <w:sz w:val="20"/>
                <w:szCs w:val="20"/>
                <w:lang w:val="en-US" w:eastAsia="zh-CN"/>
              </w:rPr>
              <w:t>Fiber Media Converter</w:t>
            </w:r>
          </w:p>
        </w:tc>
        <w:tc>
          <w:tcPr>
            <w:tcW w:w="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293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Arial" w:hAnsi="Arial" w:eastAsia="微软雅黑" w:cs="Arial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Arial" w:hAnsi="Arial" w:eastAsia="微软雅黑" w:cs="Arial"/>
                <w:kern w:val="0"/>
                <w:sz w:val="20"/>
                <w:szCs w:val="20"/>
                <w:lang w:val="en-US" w:eastAsia="zh-CN" w:bidi="ar"/>
              </w:rPr>
              <w:t>pair</w:t>
            </w: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E48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Arial" w:hAnsi="Arial" w:eastAsia="微软雅黑" w:cs="Arial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微软雅黑" w:cs="Arial"/>
                <w:kern w:val="0"/>
                <w:sz w:val="20"/>
                <w:szCs w:val="20"/>
              </w:rPr>
              <w:t>1</w:t>
            </w:r>
          </w:p>
        </w:tc>
      </w:tr>
      <w:tr w14:paraId="7DAE7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2215" w:type="dxa"/>
            <w:vMerge w:val="continue"/>
            <w:tcBorders>
              <w:tl2br w:val="nil"/>
              <w:tr2bl w:val="nil"/>
            </w:tcBorders>
            <w:shd w:val="clear" w:color="000000" w:fill="DEEAF6" w:themeFill="accent1" w:themeFillTint="33"/>
            <w:vAlign w:val="center"/>
          </w:tcPr>
          <w:p w14:paraId="5501B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Arial" w:hAnsi="Arial" w:eastAsia="微软雅黑" w:cs="Arial"/>
                <w:kern w:val="0"/>
                <w:sz w:val="20"/>
                <w:szCs w:val="20"/>
              </w:rPr>
            </w:pPr>
          </w:p>
        </w:tc>
        <w:tc>
          <w:tcPr>
            <w:tcW w:w="5938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0C7B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Arial" w:hAnsi="Arial" w:eastAsia="微软雅黑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微软雅黑" w:cs="Arial"/>
                <w:kern w:val="0"/>
                <w:sz w:val="20"/>
                <w:szCs w:val="20"/>
                <w:lang w:val="en-US" w:eastAsia="zh-CN"/>
              </w:rPr>
              <w:t>User</w:t>
            </w:r>
            <w:r>
              <w:rPr>
                <w:rFonts w:hint="default" w:ascii="Arial" w:hAnsi="Arial" w:eastAsia="微软雅黑" w:cs="Arial"/>
                <w:kern w:val="0"/>
                <w:sz w:val="20"/>
                <w:szCs w:val="20"/>
                <w:lang w:val="en-US" w:eastAsia="zh-CN"/>
              </w:rPr>
              <w:t xml:space="preserve"> Manual</w:t>
            </w:r>
          </w:p>
        </w:tc>
        <w:tc>
          <w:tcPr>
            <w:tcW w:w="64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25F8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Arial" w:hAnsi="Arial" w:eastAsia="微软雅黑" w:cs="Arial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Arial" w:hAnsi="Arial" w:eastAsia="微软雅黑" w:cs="Arial"/>
                <w:kern w:val="0"/>
                <w:sz w:val="20"/>
                <w:szCs w:val="20"/>
                <w:lang w:val="en-US" w:eastAsia="zh-CN" w:bidi="ar"/>
              </w:rPr>
              <w:t>pcs</w:t>
            </w:r>
          </w:p>
        </w:tc>
        <w:tc>
          <w:tcPr>
            <w:tcW w:w="1121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2BAC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Arial" w:hAnsi="Arial" w:eastAsia="微软雅黑" w:cs="Arial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微软雅黑" w:cs="Arial"/>
                <w:kern w:val="0"/>
                <w:sz w:val="20"/>
                <w:szCs w:val="20"/>
              </w:rPr>
              <w:t>1</w:t>
            </w:r>
          </w:p>
        </w:tc>
      </w:tr>
    </w:tbl>
    <w:p w14:paraId="02BC22DA">
      <w:pPr>
        <w:pStyle w:val="14"/>
        <w:spacing w:beforeAutospacing="0" w:afterAutospacing="0" w:line="20" w:lineRule="atLeast"/>
        <w:ind w:firstLine="0" w:firstLineChars="0"/>
        <w:outlineLvl w:val="1"/>
        <w:rPr>
          <w:rFonts w:hint="default" w:ascii="Arial" w:hAnsi="Arial" w:eastAsia="微软雅黑" w:cs="Arial"/>
          <w:b/>
          <w:color w:val="ED7D31" w:themeColor="accent2"/>
          <w:sz w:val="20"/>
          <w:szCs w:val="20"/>
          <w:lang w:val="en-US" w:eastAsia="zh-CN"/>
          <w14:textFill>
            <w14:solidFill>
              <w14:schemeClr w14:val="accent2"/>
            </w14:solidFill>
          </w14:textFill>
        </w:rPr>
      </w:pPr>
    </w:p>
    <w:p w14:paraId="6FECF5CD">
      <w:pPr>
        <w:pStyle w:val="14"/>
        <w:spacing w:beforeAutospacing="0" w:afterAutospacing="0" w:line="20" w:lineRule="atLeast"/>
        <w:ind w:firstLine="0" w:firstLineChars="0"/>
        <w:outlineLvl w:val="1"/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default" w:ascii="Arial" w:hAnsi="Arial" w:eastAsia="微软雅黑" w:cs="Arial"/>
          <w:b/>
          <w:color w:val="ED7D31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▼Ordering Information</w:t>
      </w:r>
    </w:p>
    <w:tbl>
      <w:tblPr>
        <w:tblStyle w:val="7"/>
        <w:tblW w:w="99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7735"/>
      </w:tblGrid>
      <w:tr w14:paraId="42171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EEAF6" w:themeFill="accent1" w:themeFillTint="33"/>
            <w:vAlign w:val="center"/>
          </w:tcPr>
          <w:p w14:paraId="075FB2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  <w:lang w:val="en-US" w:eastAsia="zh-CN"/>
              </w:rPr>
            </w:pPr>
            <w:bookmarkStart w:id="0" w:name="OLE_LINK7"/>
            <w:bookmarkStart w:id="1" w:name="OLE_LINK6"/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Model</w:t>
            </w:r>
          </w:p>
        </w:tc>
        <w:tc>
          <w:tcPr>
            <w:tcW w:w="7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DEEAF6" w:themeFill="accent1" w:themeFillTint="33"/>
            <w:vAlign w:val="center"/>
          </w:tcPr>
          <w:p w14:paraId="52CEC4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微软雅黑" w:cs="Arial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Description</w:t>
            </w:r>
          </w:p>
        </w:tc>
      </w:tr>
      <w:tr w14:paraId="225EA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EEAF6" w:themeFill="accent1" w:themeFillTint="33"/>
            <w:vAlign w:val="center"/>
          </w:tcPr>
          <w:p w14:paraId="1516D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微软雅黑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TBC-MC3605C-D02</w:t>
            </w:r>
          </w:p>
        </w:tc>
        <w:tc>
          <w:tcPr>
            <w:tcW w:w="7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6D1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Arial" w:hAnsi="Arial" w:eastAsia="微软雅黑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Arial"/>
                <w:kern w:val="0"/>
                <w:sz w:val="20"/>
                <w:szCs w:val="20"/>
                <w:lang w:val="en-US" w:eastAsia="zh-CN"/>
              </w:rPr>
              <w:t>10/100/1000M adaptive fiber media converter: multimode, dual-fiber, transmission distance 550m, operating wavelength 1310nm, SC optical interface; modular design.</w:t>
            </w:r>
          </w:p>
        </w:tc>
      </w:tr>
      <w:tr w14:paraId="3944D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EEAF6" w:themeFill="accent1" w:themeFillTint="33"/>
            <w:vAlign w:val="center"/>
          </w:tcPr>
          <w:p w14:paraId="1D0B9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微软雅黑" w:cs="Arial"/>
                <w:sz w:val="19"/>
                <w:szCs w:val="19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TBC-MC3602C-D20</w:t>
            </w:r>
          </w:p>
        </w:tc>
        <w:tc>
          <w:tcPr>
            <w:tcW w:w="7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30C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Arial" w:hAnsi="Arial" w:eastAsia="微软雅黑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Arial"/>
                <w:kern w:val="0"/>
                <w:sz w:val="20"/>
                <w:szCs w:val="20"/>
                <w:lang w:val="en-US" w:eastAsia="zh-CN"/>
              </w:rPr>
              <w:t>10/100/1000M adaptive fiber media converter: single-mode, dual-fiber, transmission distance 20km, operating wavelength 1310nm, SC optical interface; modular design.</w:t>
            </w:r>
          </w:p>
        </w:tc>
      </w:tr>
      <w:tr w14:paraId="1B7B8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EEAF6" w:themeFill="accent1" w:themeFillTint="33"/>
            <w:vAlign w:val="center"/>
          </w:tcPr>
          <w:p w14:paraId="052FB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Arial" w:hAnsi="Arial" w:eastAsia="微软雅黑" w:cs="Arial"/>
                <w:sz w:val="19"/>
                <w:szCs w:val="19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TBC-MC3612C-S20AB</w:t>
            </w:r>
          </w:p>
        </w:tc>
        <w:tc>
          <w:tcPr>
            <w:tcW w:w="7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80B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Arial" w:hAnsi="Arial" w:eastAsia="微软雅黑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微软雅黑" w:cs="Arial"/>
                <w:kern w:val="0"/>
                <w:sz w:val="20"/>
                <w:szCs w:val="20"/>
                <w:lang w:val="en-US" w:eastAsia="zh-CN"/>
              </w:rPr>
              <w:t>TBC-MC3612C-S20AB: 10/100/1000M adaptive fiber media converter; single-mode, single-fiber, transmission distance 20km, operating wavelengths 1310/1550nm, SC optical interface, modular design; bidirectional transmission (1310nm at end A, 1550nm at end B; end B unit is designed for rack-mounting in a central office/server room).</w:t>
            </w:r>
          </w:p>
        </w:tc>
      </w:tr>
      <w:bookmarkEnd w:id="0"/>
      <w:bookmarkEnd w:id="1"/>
    </w:tbl>
    <w:p w14:paraId="0ECD9488">
      <w:pPr>
        <w:numPr>
          <w:ilvl w:val="0"/>
          <w:numId w:val="0"/>
        </w:numPr>
        <w:tabs>
          <w:tab w:val="left" w:pos="400"/>
        </w:tabs>
        <w:jc w:val="both"/>
        <w:rPr>
          <w:rFonts w:hint="default" w:ascii="Roboto" w:hAnsi="Roboto" w:eastAsia="微软雅黑" w:cs="Roboto"/>
          <w:u w:val="single"/>
          <w:lang w:val="en-US" w:eastAsia="zh-CN"/>
        </w:rPr>
      </w:pPr>
    </w:p>
    <w:sectPr>
      <w:headerReference r:id="rId3" w:type="default"/>
      <w:footerReference r:id="rId4" w:type="default"/>
      <w:pgSz w:w="11850" w:h="16783"/>
      <w:pgMar w:top="1440" w:right="850" w:bottom="1440" w:left="85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Roboto">
    <w:panose1 w:val="02000000000000000000"/>
    <w:charset w:val="00"/>
    <w:family w:val="auto"/>
    <w:pitch w:val="default"/>
    <w:sig w:usb0="E00002FF" w:usb1="5000205B" w:usb2="0000002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200BD">
    <w:pPr>
      <w:pStyle w:val="4"/>
      <w:rPr>
        <w:rFonts w:hint="eastAsia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02F4A">
    <w:pPr>
      <w:pStyle w:val="5"/>
      <w:bidi w:val="0"/>
      <w:rPr>
        <w:rFonts w:hint="default" w:ascii="等线" w:hAnsi="等线" w:eastAsia="等线" w:cs="等线"/>
        <w:b/>
        <w:bCs/>
        <w:sz w:val="36"/>
        <w:szCs w:val="36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2951480</wp:posOffset>
              </wp:positionH>
              <wp:positionV relativeFrom="page">
                <wp:posOffset>0</wp:posOffset>
              </wp:positionV>
              <wp:extent cx="4572635" cy="539750"/>
              <wp:effectExtent l="0" t="0" r="18415" b="12700"/>
              <wp:wrapNone/>
              <wp:docPr id="51" name="任意多边形: 形状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572635" cy="539750"/>
                      </a:xfrm>
                      <a:custGeom>
                        <a:avLst/>
                        <a:gdLst>
                          <a:gd name="connsiteX0" fmla="*/ 4089777 w 4572720"/>
                          <a:gd name="connsiteY0" fmla="*/ 0 h 594172"/>
                          <a:gd name="connsiteX1" fmla="*/ 1224137 w 4572720"/>
                          <a:gd name="connsiteY1" fmla="*/ 0 h 594172"/>
                          <a:gd name="connsiteX2" fmla="*/ 490256 w 4572720"/>
                          <a:gd name="connsiteY2" fmla="*/ 0 h 594172"/>
                          <a:gd name="connsiteX3" fmla="*/ 0 w 4572720"/>
                          <a:gd name="connsiteY3" fmla="*/ 0 h 594172"/>
                          <a:gd name="connsiteX4" fmla="*/ 0 w 4572720"/>
                          <a:gd name="connsiteY4" fmla="*/ 594172 h 594172"/>
                          <a:gd name="connsiteX5" fmla="*/ 490256 w 4572720"/>
                          <a:gd name="connsiteY5" fmla="*/ 594172 h 594172"/>
                          <a:gd name="connsiteX6" fmla="*/ 1224137 w 4572720"/>
                          <a:gd name="connsiteY6" fmla="*/ 594172 h 594172"/>
                          <a:gd name="connsiteX7" fmla="*/ 4572720 w 4572720"/>
                          <a:gd name="connsiteY7" fmla="*/ 594172 h 59417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4572720" h="594172">
                            <a:moveTo>
                              <a:pt x="4089777" y="0"/>
                            </a:moveTo>
                            <a:lnTo>
                              <a:pt x="1224137" y="0"/>
                            </a:lnTo>
                            <a:lnTo>
                              <a:pt x="490256" y="0"/>
                            </a:lnTo>
                            <a:lnTo>
                              <a:pt x="0" y="0"/>
                            </a:lnTo>
                            <a:lnTo>
                              <a:pt x="0" y="594172"/>
                            </a:lnTo>
                            <a:lnTo>
                              <a:pt x="490256" y="594172"/>
                            </a:lnTo>
                            <a:lnTo>
                              <a:pt x="1224137" y="594172"/>
                            </a:lnTo>
                            <a:lnTo>
                              <a:pt x="4572720" y="594172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1C132D">
                          <w:pPr>
                            <w:jc w:val="center"/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sz w:val="22"/>
                              <w:szCs w:val="2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sz w:val="22"/>
                              <w:szCs w:val="22"/>
                              <w:lang w:val="en-US" w:eastAsia="zh-CN"/>
                            </w:rPr>
                            <w:t>Shenzhen Tianbo Communication Equipment Co., Ltd.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任意多边形: 形状 50" o:spid="_x0000_s1026" o:spt="100" style="position:absolute;left:0pt;flip:x;margin-left:232.4pt;margin-top:0pt;height:42.5pt;width:360.05pt;mso-position-horizontal-relative:page;mso-position-vertical-relative:page;z-index:251662336;v-text-anchor:middle;mso-width-relative:page;mso-height-relative:page;" fillcolor="#000000 [3213]" filled="t" stroked="f" coordsize="4572720,594172" o:gfxdata="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" path="m4089777,0l1224137,0,490256,0,0,0,0,594172,490256,594172,1224137,594172,4572720,594172xe">
              <v:path textboxrect="0,0,4572720,594172" o:connectlocs="4089700,0;1224114,0;490246,0;0,0;0,539750;490246,539750;1224114,539750;4572635,539750" o:connectangles="0,0,0,0,0,0,0,0"/>
              <v:fill on="t" focussize="0,0"/>
              <v:stroke on="f" weight="1pt" miterlimit="8" joinstyle="miter"/>
              <v:imagedata o:title=""/>
              <o:lock v:ext="edit" aspectratio="f"/>
              <v:textbox>
                <w:txbxContent>
                  <w:p w14:paraId="721C132D">
                    <w:pPr>
                      <w:jc w:val="center"/>
                      <w:rPr>
                        <w:rFonts w:hint="eastAsia" w:ascii="微软雅黑" w:hAnsi="微软雅黑" w:eastAsia="微软雅黑" w:cs="微软雅黑"/>
                        <w:b/>
                        <w:bCs/>
                        <w:sz w:val="22"/>
                        <w:szCs w:val="22"/>
                        <w:lang w:val="en-US" w:eastAsia="zh-CN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sz w:val="22"/>
                        <w:szCs w:val="22"/>
                        <w:lang w:val="en-US" w:eastAsia="zh-CN"/>
                      </w:rPr>
                      <w:t>Shenzhen Tianbo Communication Equipment Co., Ltd.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3348990" cy="608330"/>
              <wp:effectExtent l="0" t="0" r="3810" b="1270"/>
              <wp:wrapNone/>
              <wp:docPr id="41" name="任意多边形: 形状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48990" cy="608330"/>
                      </a:xfrm>
                      <a:custGeom>
                        <a:avLst/>
                        <a:gdLst>
                          <a:gd name="connsiteX0" fmla="*/ 0 w 3348583"/>
                          <a:gd name="connsiteY0" fmla="*/ 0 h 738188"/>
                          <a:gd name="connsiteX1" fmla="*/ 972319 w 3348583"/>
                          <a:gd name="connsiteY1" fmla="*/ 0 h 738188"/>
                          <a:gd name="connsiteX2" fmla="*/ 1908423 w 3348583"/>
                          <a:gd name="connsiteY2" fmla="*/ 0 h 738188"/>
                          <a:gd name="connsiteX3" fmla="*/ 3346719 w 3348583"/>
                          <a:gd name="connsiteY3" fmla="*/ 0 h 738188"/>
                          <a:gd name="connsiteX4" fmla="*/ 3348583 w 3348583"/>
                          <a:gd name="connsiteY4" fmla="*/ 2266 h 738188"/>
                          <a:gd name="connsiteX5" fmla="*/ 2743028 w 3348583"/>
                          <a:gd name="connsiteY5" fmla="*/ 738188 h 738188"/>
                          <a:gd name="connsiteX6" fmla="*/ 1908423 w 3348583"/>
                          <a:gd name="connsiteY6" fmla="*/ 738188 h 738188"/>
                          <a:gd name="connsiteX7" fmla="*/ 972319 w 3348583"/>
                          <a:gd name="connsiteY7" fmla="*/ 738188 h 738188"/>
                          <a:gd name="connsiteX8" fmla="*/ 0 w 3348583"/>
                          <a:gd name="connsiteY8" fmla="*/ 738188 h 73818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</a:cxnLst>
                        <a:rect l="l" t="t" r="r" b="b"/>
                        <a:pathLst>
                          <a:path w="3348583" h="738188">
                            <a:moveTo>
                              <a:pt x="0" y="0"/>
                            </a:moveTo>
                            <a:lnTo>
                              <a:pt x="972319" y="0"/>
                            </a:lnTo>
                            <a:lnTo>
                              <a:pt x="1908423" y="0"/>
                            </a:lnTo>
                            <a:lnTo>
                              <a:pt x="3346719" y="0"/>
                            </a:lnTo>
                            <a:lnTo>
                              <a:pt x="3348583" y="2266"/>
                            </a:lnTo>
                            <a:lnTo>
                              <a:pt x="2743028" y="738188"/>
                            </a:lnTo>
                            <a:lnTo>
                              <a:pt x="1908423" y="738188"/>
                            </a:lnTo>
                            <a:lnTo>
                              <a:pt x="972319" y="738188"/>
                            </a:lnTo>
                            <a:lnTo>
                              <a:pt x="0" y="738188"/>
                            </a:lnTo>
                            <a:close/>
                          </a:path>
                        </a:pathLst>
                      </a:custGeom>
                      <a:solidFill>
                        <a:srgbClr val="F4881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0B8916">
                          <w:pPr>
                            <w:jc w:val="both"/>
                            <w:rPr>
                              <w:rFonts w:hint="default" w:ascii="等线" w:hAnsi="等线" w:eastAsia="等线" w:cs="等线"/>
                              <w:b/>
                              <w:bCs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等线" w:hAnsi="等线" w:eastAsia="等线" w:cs="等线"/>
                              <w:b/>
                              <w:bCs/>
                              <w:lang w:val="en-US" w:eastAsia="zh-CN"/>
                            </w:rPr>
                            <w:t xml:space="preserve">         </w:t>
                          </w:r>
                          <w:r>
                            <w:rPr>
                              <w:rFonts w:hint="eastAsia" w:ascii="等线" w:hAnsi="等线" w:eastAsia="等线" w:cs="等线"/>
                              <w:b/>
                              <w:bCs/>
                              <w:lang w:val="en-US" w:eastAsia="zh-CN"/>
                            </w:rPr>
                            <w:drawing>
                              <wp:inline distT="0" distB="0" distL="114300" distR="114300">
                                <wp:extent cx="1464945" cy="358140"/>
                                <wp:effectExtent l="0" t="0" r="1905" b="3810"/>
                                <wp:docPr id="30" name="图片 30" descr="微信图片_202012241002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" name="图片 30" descr="微信图片_20201224100230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64945" cy="358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hint="eastAsia" w:ascii="等线" w:hAnsi="等线" w:eastAsia="等线" w:cs="等线"/>
                              <w:b/>
                              <w:bCs/>
                              <w:lang w:val="en-US" w:eastAsia="zh-CN"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任意多边形: 形状 40" o:spid="_x0000_s1026" o:spt="100" style="position:absolute;left:0pt;margin-left:0pt;margin-top:0pt;height:47.9pt;width:263.7pt;mso-position-horizontal-relative:page;mso-position-vertical-relative:page;z-index:251661312;v-text-anchor:middle;mso-width-relative:page;mso-height-relative:page;" fillcolor="#F48818" filled="t" stroked="f" coordsize="3348583,738188" o:gfxdata="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" path="m0,0l972319,0,1908423,0,3346719,0,3348583,2266,2743028,738188,1908423,738188,972319,738188,0,738188xe">
              <v:path textboxrect="0,0,3348583,738188" o:connectlocs="0,0;972437,0;1908654,0;3347125,0;3348990,1867;2743361,608330;1908654,608330;972437,608330;0,608330" o:connectangles="0,0,0,0,0,0,0,0,0"/>
              <v:fill on="t" focussize="0,0"/>
              <v:stroke on="f" weight="1pt" miterlimit="8" joinstyle="miter"/>
              <v:imagedata o:title=""/>
              <o:lock v:ext="edit" aspectratio="f"/>
              <v:textbox>
                <w:txbxContent>
                  <w:p w14:paraId="690B8916">
                    <w:pPr>
                      <w:jc w:val="both"/>
                      <w:rPr>
                        <w:rFonts w:hint="default" w:ascii="等线" w:hAnsi="等线" w:eastAsia="等线" w:cs="等线"/>
                        <w:b/>
                        <w:bCs/>
                        <w:lang w:val="en-US" w:eastAsia="zh-CN"/>
                      </w:rPr>
                    </w:pPr>
                    <w:r>
                      <w:rPr>
                        <w:rFonts w:hint="eastAsia" w:ascii="等线" w:hAnsi="等线" w:eastAsia="等线" w:cs="等线"/>
                        <w:b/>
                        <w:bCs/>
                        <w:lang w:val="en-US" w:eastAsia="zh-CN"/>
                      </w:rPr>
                      <w:t xml:space="preserve">         </w:t>
                    </w:r>
                    <w:r>
                      <w:rPr>
                        <w:rFonts w:hint="eastAsia" w:ascii="等线" w:hAnsi="等线" w:eastAsia="等线" w:cs="等线"/>
                        <w:b/>
                        <w:bCs/>
                        <w:lang w:val="en-US" w:eastAsia="zh-CN"/>
                      </w:rPr>
                      <w:drawing>
                        <wp:inline distT="0" distB="0" distL="114300" distR="114300">
                          <wp:extent cx="1464945" cy="358140"/>
                          <wp:effectExtent l="0" t="0" r="1905" b="3810"/>
                          <wp:docPr id="30" name="图片 30" descr="微信图片_202012241002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0" name="图片 30" descr="微信图片_2020122410023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64945" cy="358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hint="eastAsia" w:ascii="等线" w:hAnsi="等线" w:eastAsia="等线" w:cs="等线"/>
                        <w:b/>
                        <w:bCs/>
                        <w:lang w:val="en-US" w:eastAsia="zh-CN"/>
                      </w:rPr>
                      <w:t xml:space="preserve">  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4453890</wp:posOffset>
              </wp:positionH>
              <wp:positionV relativeFrom="page">
                <wp:posOffset>10180955</wp:posOffset>
              </wp:positionV>
              <wp:extent cx="3070225" cy="471170"/>
              <wp:effectExtent l="0" t="0" r="15875" b="508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070225" cy="471170"/>
                      </a:xfrm>
                      <a:custGeom>
                        <a:avLst/>
                        <a:gdLst>
                          <a:gd name="T0" fmla="*/ 0 w 533"/>
                          <a:gd name="T1" fmla="*/ 0 h 148"/>
                          <a:gd name="T2" fmla="*/ 90 w 533"/>
                          <a:gd name="T3" fmla="*/ 148 h 148"/>
                          <a:gd name="T4" fmla="*/ 533 w 533"/>
                          <a:gd name="T5" fmla="*/ 148 h 148"/>
                          <a:gd name="T6" fmla="*/ 533 w 533"/>
                          <a:gd name="T7" fmla="*/ 0 h 148"/>
                          <a:gd name="T8" fmla="*/ 0 w 533"/>
                          <a:gd name="T9" fmla="*/ 0 h 14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533" h="148">
                            <a:moveTo>
                              <a:pt x="0" y="0"/>
                            </a:moveTo>
                            <a:lnTo>
                              <a:pt x="90" y="148"/>
                            </a:lnTo>
                            <a:lnTo>
                              <a:pt x="533" y="148"/>
                            </a:lnTo>
                            <a:lnTo>
                              <a:pt x="533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68B1E"/>
                      </a:solidFill>
                      <a:ln>
                        <a:noFill/>
                      </a:ln>
                    </wps:spPr>
                    <wps:txbx>
                      <w:txbxContent>
                        <w:p w14:paraId="7AA04929">
                          <w:pPr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60" w:lineRule="exact"/>
                            <w:ind w:firstLine="1441" w:firstLineChars="800"/>
                            <w:jc w:val="both"/>
                            <w:textAlignment w:val="auto"/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u w:val="none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u w:val="none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u w:val="none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HYPERLINK "http://www.sztincam.com" </w:instrTex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u w:val="none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u w:val="none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www.sztincam.com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u w:val="none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  <w:p w14:paraId="51BDBECF">
                          <w:pPr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60" w:lineRule="exact"/>
                            <w:jc w:val="center"/>
                            <w:textAlignment w:val="auto"/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Hotline：400-8393-668</w:t>
                          </w:r>
                        </w:p>
                      </w:txbxContent>
                    </wps:txbx>
                    <wps:bodyPr vert="horz" wrap="square" lIns="91440" tIns="45720" rIns="91440" bIns="45720" numCol="1" anchor="t" anchorCtr="0" compatLnSpc="1"/>
                  </wps:wsp>
                </a:graphicData>
              </a:graphic>
            </wp:anchor>
          </w:drawing>
        </mc:Choice>
        <mc:Fallback>
          <w:pict>
            <v:shape id="Freeform 6" o:spid="_x0000_s1026" o:spt="100" style="position:absolute;left:0pt;margin-left:350.7pt;margin-top:801.65pt;height:37.1pt;width:241.75pt;mso-position-horizontal-relative:page;mso-position-vertical-relative:page;z-index:251660288;mso-width-relative:page;mso-height-relative:page;" fillcolor="#F68B1E" filled="t" stroked="f" coordsize="533,148" o:gfxdata="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90Cqw9sAAAAOAQAADwAAAAAAAAABACAAAAAi&#10;AAAAZHJzL2Rvd25yZXYueG1sUEsBAhQAFAAAAAgAh07iQI7Ir6frAgAAggcAAA4AAAAAAAAAAQAg&#10;AAAAKgEAAGRycy9lMm9Eb2MueG1sUEsFBgAAAAAGAAYAWQEAAIcGAAAAAA==&#10;" path="m0,0l90,148,533,148,533,0,0,0xe">
              <v:path textboxrect="0,0,533,148" o:connectlocs="0,0;518424,471170;3070225,471170;3070225,0;0,0" o:connectangles="0,0,0,0,0"/>
              <v:fill on="t" focussize="0,0"/>
              <v:stroke on="f"/>
              <v:imagedata o:title=""/>
              <o:lock v:ext="edit" aspectratio="f"/>
              <v:textbox>
                <w:txbxContent>
                  <w:p w14:paraId="7AA04929">
                    <w:pPr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/>
                      <w:spacing w:line="260" w:lineRule="exact"/>
                      <w:ind w:firstLine="1441" w:firstLineChars="800"/>
                      <w:jc w:val="both"/>
                      <w:textAlignment w:val="auto"/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FFFFFF" w:themeColor="background1"/>
                        <w:sz w:val="18"/>
                        <w:szCs w:val="18"/>
                        <w:u w:val="none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FFFFFF" w:themeColor="background1"/>
                        <w:sz w:val="18"/>
                        <w:szCs w:val="18"/>
                        <w:u w:val="none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FFFFFF" w:themeColor="background1"/>
                        <w:sz w:val="18"/>
                        <w:szCs w:val="18"/>
                        <w:u w:val="none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HYPERLINK "http://www.sztincam.com" </w:instrText>
                    </w: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FFFFFF" w:themeColor="background1"/>
                        <w:sz w:val="18"/>
                        <w:szCs w:val="18"/>
                        <w:u w:val="none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Style w:val="12"/>
                        <w:rFonts w:hint="eastAsia" w:ascii="微软雅黑" w:hAnsi="微软雅黑" w:eastAsia="微软雅黑" w:cs="微软雅黑"/>
                        <w:b/>
                        <w:bCs/>
                        <w:color w:val="FFFFFF" w:themeColor="background1"/>
                        <w:sz w:val="18"/>
                        <w:szCs w:val="18"/>
                        <w:u w:val="none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www.sztincam.com</w:t>
                    </w: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FFFFFF" w:themeColor="background1"/>
                        <w:sz w:val="18"/>
                        <w:szCs w:val="18"/>
                        <w:u w:val="none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</w:p>
                  <w:p w14:paraId="51BDBECF">
                    <w:pPr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/>
                      <w:spacing w:line="260" w:lineRule="exact"/>
                      <w:jc w:val="center"/>
                      <w:textAlignment w:val="auto"/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FFFFFF" w:themeColor="background1"/>
                        <w:sz w:val="18"/>
                        <w:szCs w:val="18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FFFFFF" w:themeColor="background1"/>
                        <w:sz w:val="18"/>
                        <w:szCs w:val="18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Hotline：400-8393-668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280285" cy="91440"/>
              <wp:effectExtent l="0" t="0" r="0" b="0"/>
              <wp:wrapNone/>
              <wp:docPr id="46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29210" y="61595"/>
                        <a:ext cx="228028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115FDE">
                          <w:pPr>
                            <w:pStyle w:val="6"/>
                            <w:kinsoku/>
                            <w:ind w:left="0"/>
                            <w:jc w:val="center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  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45" o:spid="_x0000_s1026" o:spt="202" type="#_x0000_t202" style="position:absolute;left:0pt;height:7.2pt;width:179.55pt;mso-position-horizontal:left;mso-position-horizontal-relative:page;mso-position-vertical:top;mso-position-vertical-relative:page;z-index:251659264;mso-width-relative:page;mso-height-relative:page;" filled="f" stroked="f" coordsize="21600,21600" o:gfxdata="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gad409MAAAAEAQAADwAAAAAAAAABACAAAAAiAAAAZHJzL2Rvd25yZXYueG1s&#10;UEsBAhQAFAAAAAgAh07iQHFtdErEAQAAZgMAAA4AAAAAAAAAAQAgAAAAIgEAAGRycy9lMm9Eb2Mu&#10;eG1sUEsFBgAAAAAGAAYAWQEAAFg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04115FDE">
                    <w:pPr>
                      <w:pStyle w:val="6"/>
                      <w:kinsoku/>
                      <w:ind w:left="0"/>
                      <w:jc w:val="center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 xml:space="preserve"> 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86464D"/>
    <w:multiLevelType w:val="singleLevel"/>
    <w:tmpl w:val="DE86464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1YWNhYmMzOTUwNzI5YTY2Njc1ODNmNjgxMGUyNjcifQ=="/>
  </w:docVars>
  <w:rsids>
    <w:rsidRoot w:val="40412E32"/>
    <w:rsid w:val="002B73D8"/>
    <w:rsid w:val="006007B9"/>
    <w:rsid w:val="00E74996"/>
    <w:rsid w:val="01115B19"/>
    <w:rsid w:val="01222A0B"/>
    <w:rsid w:val="01D60B10"/>
    <w:rsid w:val="01EC20E2"/>
    <w:rsid w:val="01F62B1F"/>
    <w:rsid w:val="029273A0"/>
    <w:rsid w:val="033C49A3"/>
    <w:rsid w:val="0376596C"/>
    <w:rsid w:val="03C9097D"/>
    <w:rsid w:val="04396071"/>
    <w:rsid w:val="04C25AE3"/>
    <w:rsid w:val="054F6874"/>
    <w:rsid w:val="05E6364E"/>
    <w:rsid w:val="0634502A"/>
    <w:rsid w:val="06835B14"/>
    <w:rsid w:val="06E0286E"/>
    <w:rsid w:val="06EB0DAE"/>
    <w:rsid w:val="071C5C86"/>
    <w:rsid w:val="07490DFE"/>
    <w:rsid w:val="07BD4590"/>
    <w:rsid w:val="07D91914"/>
    <w:rsid w:val="07E8122F"/>
    <w:rsid w:val="084F33DD"/>
    <w:rsid w:val="08534CA8"/>
    <w:rsid w:val="08844E22"/>
    <w:rsid w:val="08852948"/>
    <w:rsid w:val="08AD2815"/>
    <w:rsid w:val="091032DB"/>
    <w:rsid w:val="095F763D"/>
    <w:rsid w:val="09D5084E"/>
    <w:rsid w:val="09FD2492"/>
    <w:rsid w:val="09FD719E"/>
    <w:rsid w:val="0A757B75"/>
    <w:rsid w:val="0A8E70ED"/>
    <w:rsid w:val="0ABE2142"/>
    <w:rsid w:val="0B2A05A9"/>
    <w:rsid w:val="0B2D79F3"/>
    <w:rsid w:val="0B515E2A"/>
    <w:rsid w:val="0B811AED"/>
    <w:rsid w:val="0C472848"/>
    <w:rsid w:val="0CC773F4"/>
    <w:rsid w:val="0CD117C7"/>
    <w:rsid w:val="0CD553AD"/>
    <w:rsid w:val="0CDC7304"/>
    <w:rsid w:val="0DC161D1"/>
    <w:rsid w:val="0E514406"/>
    <w:rsid w:val="0E6D2089"/>
    <w:rsid w:val="0E745C53"/>
    <w:rsid w:val="0F4A2D60"/>
    <w:rsid w:val="0F5337A0"/>
    <w:rsid w:val="0F977B31"/>
    <w:rsid w:val="0FA80E16"/>
    <w:rsid w:val="0FA86DD9"/>
    <w:rsid w:val="102E6A9E"/>
    <w:rsid w:val="10724C96"/>
    <w:rsid w:val="10E072B6"/>
    <w:rsid w:val="10E0733B"/>
    <w:rsid w:val="116A5BBC"/>
    <w:rsid w:val="121761A2"/>
    <w:rsid w:val="121B3F3C"/>
    <w:rsid w:val="129179B0"/>
    <w:rsid w:val="13D70C00"/>
    <w:rsid w:val="14AB1989"/>
    <w:rsid w:val="14D31F30"/>
    <w:rsid w:val="14E25A04"/>
    <w:rsid w:val="153C6A85"/>
    <w:rsid w:val="15C75210"/>
    <w:rsid w:val="15DC3504"/>
    <w:rsid w:val="16316598"/>
    <w:rsid w:val="16370C7E"/>
    <w:rsid w:val="164C4375"/>
    <w:rsid w:val="1699321F"/>
    <w:rsid w:val="16A865A3"/>
    <w:rsid w:val="183229F3"/>
    <w:rsid w:val="1843087D"/>
    <w:rsid w:val="19824DEC"/>
    <w:rsid w:val="19986F06"/>
    <w:rsid w:val="1A214F35"/>
    <w:rsid w:val="1A825B39"/>
    <w:rsid w:val="1A917256"/>
    <w:rsid w:val="1AA153A1"/>
    <w:rsid w:val="1ABF2A40"/>
    <w:rsid w:val="1B231BBA"/>
    <w:rsid w:val="1B4A543C"/>
    <w:rsid w:val="1C86131B"/>
    <w:rsid w:val="1CF9709D"/>
    <w:rsid w:val="1CFC6AF6"/>
    <w:rsid w:val="1D235754"/>
    <w:rsid w:val="1D304837"/>
    <w:rsid w:val="1D350989"/>
    <w:rsid w:val="1D7D2A9C"/>
    <w:rsid w:val="1DF040BD"/>
    <w:rsid w:val="1E042876"/>
    <w:rsid w:val="1E3E3ACF"/>
    <w:rsid w:val="1E527A35"/>
    <w:rsid w:val="1E532A67"/>
    <w:rsid w:val="1E7F010E"/>
    <w:rsid w:val="1EE8344E"/>
    <w:rsid w:val="1F060BB9"/>
    <w:rsid w:val="1F284C6B"/>
    <w:rsid w:val="1F2B5BA0"/>
    <w:rsid w:val="1F63369E"/>
    <w:rsid w:val="1FD02644"/>
    <w:rsid w:val="1FD52A57"/>
    <w:rsid w:val="20134B83"/>
    <w:rsid w:val="208031F6"/>
    <w:rsid w:val="20892565"/>
    <w:rsid w:val="20A737D8"/>
    <w:rsid w:val="20EA49CF"/>
    <w:rsid w:val="20F97C1D"/>
    <w:rsid w:val="220C28B3"/>
    <w:rsid w:val="22E12782"/>
    <w:rsid w:val="22ED16EF"/>
    <w:rsid w:val="238744E4"/>
    <w:rsid w:val="23FE3F72"/>
    <w:rsid w:val="241537B8"/>
    <w:rsid w:val="243B695F"/>
    <w:rsid w:val="24BF2C0D"/>
    <w:rsid w:val="258E5D61"/>
    <w:rsid w:val="25D53E1D"/>
    <w:rsid w:val="26531720"/>
    <w:rsid w:val="26765CE6"/>
    <w:rsid w:val="267D273C"/>
    <w:rsid w:val="26A27B52"/>
    <w:rsid w:val="27027B2E"/>
    <w:rsid w:val="273568B5"/>
    <w:rsid w:val="285E5047"/>
    <w:rsid w:val="289B61DD"/>
    <w:rsid w:val="28B27032"/>
    <w:rsid w:val="28C130D1"/>
    <w:rsid w:val="28E46C36"/>
    <w:rsid w:val="29281C4D"/>
    <w:rsid w:val="295D3845"/>
    <w:rsid w:val="297F0C0A"/>
    <w:rsid w:val="29910EA4"/>
    <w:rsid w:val="29B47717"/>
    <w:rsid w:val="2A5D066B"/>
    <w:rsid w:val="2AD4533E"/>
    <w:rsid w:val="2B585D4D"/>
    <w:rsid w:val="2C3035D7"/>
    <w:rsid w:val="2C837884"/>
    <w:rsid w:val="2CD260E8"/>
    <w:rsid w:val="2D0507DA"/>
    <w:rsid w:val="2D6531C4"/>
    <w:rsid w:val="2E7F1A64"/>
    <w:rsid w:val="2E9F4D5E"/>
    <w:rsid w:val="2EA82D9C"/>
    <w:rsid w:val="2F2C0AE9"/>
    <w:rsid w:val="2F360741"/>
    <w:rsid w:val="2F45691E"/>
    <w:rsid w:val="2F6B34DA"/>
    <w:rsid w:val="2F7A7909"/>
    <w:rsid w:val="30684532"/>
    <w:rsid w:val="30D41EAC"/>
    <w:rsid w:val="311D2AD9"/>
    <w:rsid w:val="31271F3F"/>
    <w:rsid w:val="313D1CA2"/>
    <w:rsid w:val="31A47A5B"/>
    <w:rsid w:val="31C6290C"/>
    <w:rsid w:val="32144BB9"/>
    <w:rsid w:val="325A22A3"/>
    <w:rsid w:val="33691CA7"/>
    <w:rsid w:val="33826A37"/>
    <w:rsid w:val="342562CA"/>
    <w:rsid w:val="343D62CA"/>
    <w:rsid w:val="345871EF"/>
    <w:rsid w:val="34937616"/>
    <w:rsid w:val="34D1132B"/>
    <w:rsid w:val="34F111EB"/>
    <w:rsid w:val="358D382C"/>
    <w:rsid w:val="36017203"/>
    <w:rsid w:val="360454D1"/>
    <w:rsid w:val="365E6512"/>
    <w:rsid w:val="36A43E80"/>
    <w:rsid w:val="36CC2A95"/>
    <w:rsid w:val="370E1BD7"/>
    <w:rsid w:val="379012BD"/>
    <w:rsid w:val="37D22C05"/>
    <w:rsid w:val="37F14C19"/>
    <w:rsid w:val="382B67D2"/>
    <w:rsid w:val="38551651"/>
    <w:rsid w:val="387E0FDF"/>
    <w:rsid w:val="38A22AE1"/>
    <w:rsid w:val="396C1D45"/>
    <w:rsid w:val="39F16C20"/>
    <w:rsid w:val="3A127C30"/>
    <w:rsid w:val="3A6F587C"/>
    <w:rsid w:val="3A824784"/>
    <w:rsid w:val="3B1E4879"/>
    <w:rsid w:val="3B24672C"/>
    <w:rsid w:val="3B994305"/>
    <w:rsid w:val="3BEA627F"/>
    <w:rsid w:val="3BFD4725"/>
    <w:rsid w:val="3C977305"/>
    <w:rsid w:val="3CC1152A"/>
    <w:rsid w:val="3D3F413B"/>
    <w:rsid w:val="3D5E70AF"/>
    <w:rsid w:val="3D6C300A"/>
    <w:rsid w:val="3D7D38D5"/>
    <w:rsid w:val="3D960B78"/>
    <w:rsid w:val="3D995F73"/>
    <w:rsid w:val="3D9F6BDE"/>
    <w:rsid w:val="3DC93A44"/>
    <w:rsid w:val="3DF02ADC"/>
    <w:rsid w:val="3E11135C"/>
    <w:rsid w:val="3E156B01"/>
    <w:rsid w:val="3E554590"/>
    <w:rsid w:val="3E862CC6"/>
    <w:rsid w:val="3EFD6CFE"/>
    <w:rsid w:val="3F0265F1"/>
    <w:rsid w:val="3F123225"/>
    <w:rsid w:val="3F821080"/>
    <w:rsid w:val="40412E32"/>
    <w:rsid w:val="40C45284"/>
    <w:rsid w:val="40FC09FF"/>
    <w:rsid w:val="412C6DC0"/>
    <w:rsid w:val="4199467C"/>
    <w:rsid w:val="419A7C8C"/>
    <w:rsid w:val="41C052EF"/>
    <w:rsid w:val="41C36557"/>
    <w:rsid w:val="420560A9"/>
    <w:rsid w:val="42312C1E"/>
    <w:rsid w:val="434026A7"/>
    <w:rsid w:val="436266D7"/>
    <w:rsid w:val="43A20A68"/>
    <w:rsid w:val="444906F3"/>
    <w:rsid w:val="44676C51"/>
    <w:rsid w:val="4559032F"/>
    <w:rsid w:val="45625610"/>
    <w:rsid w:val="45EC0769"/>
    <w:rsid w:val="46E7197A"/>
    <w:rsid w:val="46EC3837"/>
    <w:rsid w:val="47186A6B"/>
    <w:rsid w:val="472B7988"/>
    <w:rsid w:val="477A2CD2"/>
    <w:rsid w:val="47B4312A"/>
    <w:rsid w:val="4824505F"/>
    <w:rsid w:val="484E482D"/>
    <w:rsid w:val="48B464F8"/>
    <w:rsid w:val="48FB77C4"/>
    <w:rsid w:val="491E3F47"/>
    <w:rsid w:val="49427EF5"/>
    <w:rsid w:val="49612941"/>
    <w:rsid w:val="49C608B9"/>
    <w:rsid w:val="49F90374"/>
    <w:rsid w:val="4A0D2F51"/>
    <w:rsid w:val="4A125F80"/>
    <w:rsid w:val="4A163492"/>
    <w:rsid w:val="4A2A5C2C"/>
    <w:rsid w:val="4A965D14"/>
    <w:rsid w:val="4ABD14F2"/>
    <w:rsid w:val="4B625B61"/>
    <w:rsid w:val="4B7D12C9"/>
    <w:rsid w:val="4C8A387B"/>
    <w:rsid w:val="4D252E74"/>
    <w:rsid w:val="4D8874D3"/>
    <w:rsid w:val="4DD13B0D"/>
    <w:rsid w:val="4E6B4B9A"/>
    <w:rsid w:val="4E727D10"/>
    <w:rsid w:val="4EF80DAD"/>
    <w:rsid w:val="4EFD4D67"/>
    <w:rsid w:val="4F234FE3"/>
    <w:rsid w:val="4F7B0309"/>
    <w:rsid w:val="50075B8D"/>
    <w:rsid w:val="501D321D"/>
    <w:rsid w:val="502B2C1F"/>
    <w:rsid w:val="50792360"/>
    <w:rsid w:val="50A70216"/>
    <w:rsid w:val="51213D0F"/>
    <w:rsid w:val="5126501D"/>
    <w:rsid w:val="514D7488"/>
    <w:rsid w:val="515B0227"/>
    <w:rsid w:val="5252771B"/>
    <w:rsid w:val="52650ECC"/>
    <w:rsid w:val="52AB76E0"/>
    <w:rsid w:val="52AD4715"/>
    <w:rsid w:val="53DA0AC3"/>
    <w:rsid w:val="54742431"/>
    <w:rsid w:val="54A225E7"/>
    <w:rsid w:val="54F020F0"/>
    <w:rsid w:val="551F0AB7"/>
    <w:rsid w:val="553F4455"/>
    <w:rsid w:val="55730471"/>
    <w:rsid w:val="55C90176"/>
    <w:rsid w:val="562F3ACC"/>
    <w:rsid w:val="564C1404"/>
    <w:rsid w:val="564E2A58"/>
    <w:rsid w:val="569A4794"/>
    <w:rsid w:val="56B92464"/>
    <w:rsid w:val="57660E24"/>
    <w:rsid w:val="57C02869"/>
    <w:rsid w:val="58201313"/>
    <w:rsid w:val="58F62CB7"/>
    <w:rsid w:val="58FC4C8F"/>
    <w:rsid w:val="59D46859"/>
    <w:rsid w:val="59DC14C3"/>
    <w:rsid w:val="5A046517"/>
    <w:rsid w:val="5A3D218F"/>
    <w:rsid w:val="5AA164B9"/>
    <w:rsid w:val="5CE319EF"/>
    <w:rsid w:val="5CF50FC0"/>
    <w:rsid w:val="5D500D44"/>
    <w:rsid w:val="5DA36548"/>
    <w:rsid w:val="5DBB3FB7"/>
    <w:rsid w:val="5E457254"/>
    <w:rsid w:val="5E6F4DA2"/>
    <w:rsid w:val="5EBB5F24"/>
    <w:rsid w:val="602F29C1"/>
    <w:rsid w:val="61045C30"/>
    <w:rsid w:val="6167549C"/>
    <w:rsid w:val="61926DDD"/>
    <w:rsid w:val="61CB4FDA"/>
    <w:rsid w:val="62325236"/>
    <w:rsid w:val="62567630"/>
    <w:rsid w:val="62C94A79"/>
    <w:rsid w:val="63505ABC"/>
    <w:rsid w:val="65045B5D"/>
    <w:rsid w:val="6547673B"/>
    <w:rsid w:val="656E64F1"/>
    <w:rsid w:val="658C019A"/>
    <w:rsid w:val="65FF3547"/>
    <w:rsid w:val="66060F42"/>
    <w:rsid w:val="668A4527"/>
    <w:rsid w:val="669657F1"/>
    <w:rsid w:val="66D82F83"/>
    <w:rsid w:val="67191419"/>
    <w:rsid w:val="672D4DA0"/>
    <w:rsid w:val="67E05E43"/>
    <w:rsid w:val="67EE0C5C"/>
    <w:rsid w:val="684D397D"/>
    <w:rsid w:val="685A6F8E"/>
    <w:rsid w:val="68C1743E"/>
    <w:rsid w:val="68CC0F79"/>
    <w:rsid w:val="69074555"/>
    <w:rsid w:val="696235D8"/>
    <w:rsid w:val="69CA0A7C"/>
    <w:rsid w:val="69D27E10"/>
    <w:rsid w:val="6A784A53"/>
    <w:rsid w:val="6B050406"/>
    <w:rsid w:val="6B282560"/>
    <w:rsid w:val="6C1A242B"/>
    <w:rsid w:val="6C500C46"/>
    <w:rsid w:val="6C6E1C6D"/>
    <w:rsid w:val="6E385B6C"/>
    <w:rsid w:val="6EAB7730"/>
    <w:rsid w:val="6F072E80"/>
    <w:rsid w:val="6F1161C5"/>
    <w:rsid w:val="70C745CA"/>
    <w:rsid w:val="70D07922"/>
    <w:rsid w:val="71047E07"/>
    <w:rsid w:val="713C6F38"/>
    <w:rsid w:val="721F1FB9"/>
    <w:rsid w:val="730D29EB"/>
    <w:rsid w:val="734841C6"/>
    <w:rsid w:val="73941BA5"/>
    <w:rsid w:val="747431F1"/>
    <w:rsid w:val="749D2E6E"/>
    <w:rsid w:val="749D5D6D"/>
    <w:rsid w:val="755629F3"/>
    <w:rsid w:val="7605321D"/>
    <w:rsid w:val="763D100A"/>
    <w:rsid w:val="76BB46CF"/>
    <w:rsid w:val="76C50C85"/>
    <w:rsid w:val="76D0242A"/>
    <w:rsid w:val="78160310"/>
    <w:rsid w:val="787E5EB6"/>
    <w:rsid w:val="78AE25E8"/>
    <w:rsid w:val="78ED073A"/>
    <w:rsid w:val="790C20A8"/>
    <w:rsid w:val="79465429"/>
    <w:rsid w:val="79916D80"/>
    <w:rsid w:val="79CB6ED9"/>
    <w:rsid w:val="79CD0380"/>
    <w:rsid w:val="7A153316"/>
    <w:rsid w:val="7AAF5CB0"/>
    <w:rsid w:val="7AF1471D"/>
    <w:rsid w:val="7B0864EE"/>
    <w:rsid w:val="7B3C2CDD"/>
    <w:rsid w:val="7B450F51"/>
    <w:rsid w:val="7B492AA9"/>
    <w:rsid w:val="7BA91A30"/>
    <w:rsid w:val="7BE42B1A"/>
    <w:rsid w:val="7BE82D0A"/>
    <w:rsid w:val="7C26489A"/>
    <w:rsid w:val="7C943EFA"/>
    <w:rsid w:val="7CBA21AA"/>
    <w:rsid w:val="7CE74E0C"/>
    <w:rsid w:val="7CEC7830"/>
    <w:rsid w:val="7D2815BF"/>
    <w:rsid w:val="7D665892"/>
    <w:rsid w:val="7E5D732F"/>
    <w:rsid w:val="7E7D0171"/>
    <w:rsid w:val="7F451FB8"/>
    <w:rsid w:val="7F5E29F3"/>
    <w:rsid w:val="7FB96C84"/>
    <w:rsid w:val="7FCA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" w:eastAsia="zh-CN" w:bidi="ar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autoRedefine/>
    <w:qFormat/>
    <w:uiPriority w:val="0"/>
    <w:rPr>
      <w:rFonts w:ascii="Times New Roman" w:hAnsi="Times New Roman" w:eastAsia="宋体"/>
      <w:color w:val="000000" w:themeColor="text1"/>
      <w:u w:val="none"/>
      <w14:textFill>
        <w14:solidFill>
          <w14:schemeClr w14:val="tx1"/>
        </w14:solidFill>
      </w14:textFill>
    </w:rPr>
  </w:style>
  <w:style w:type="character" w:styleId="12">
    <w:name w:val="Hyperlink"/>
    <w:basedOn w:val="13"/>
    <w:autoRedefine/>
    <w:qFormat/>
    <w:uiPriority w:val="0"/>
    <w:rPr>
      <w:rFonts w:ascii="Times New Roman" w:hAnsi="Times New Roman" w:eastAsia="宋体"/>
      <w:color w:val="0000FF"/>
      <w:u w:val="single"/>
    </w:rPr>
  </w:style>
  <w:style w:type="character" w:styleId="13">
    <w:name w:val="HTML Code"/>
    <w:basedOn w:val="9"/>
    <w:autoRedefine/>
    <w:qFormat/>
    <w:uiPriority w:val="0"/>
    <w:rPr>
      <w:rFonts w:ascii="Courier New" w:hAnsi="Courier New"/>
      <w:sz w:val="20"/>
    </w:rPr>
  </w:style>
  <w:style w:type="paragraph" w:customStyle="1" w:styleId="14">
    <w:name w:val="List Paragraph"/>
    <w:basedOn w:val="1"/>
    <w:autoRedefine/>
    <w:qFormat/>
    <w:uiPriority w:val="0"/>
    <w:pPr>
      <w:ind w:firstLine="420" w:firstLineChars="200"/>
    </w:pPr>
  </w:style>
  <w:style w:type="paragraph" w:customStyle="1" w:styleId="1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751</Words>
  <Characters>5001</Characters>
  <Lines>0</Lines>
  <Paragraphs>0</Paragraphs>
  <TotalTime>36</TotalTime>
  <ScaleCrop>false</ScaleCrop>
  <LinksUpToDate>false</LinksUpToDate>
  <CharactersWithSpaces>5626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2020-12-22T02:42:00Z</dcterms:created>
  <dc:creator>TB-8028</dc:creator>
  <cp:lastModifiedBy>天博通信Cathy</cp:lastModifiedBy>
  <dcterms:modified xsi:type="dcterms:W3CDTF">2026-10-21T07:15:27Z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60FD376DF9B24D0B8E4740E3071EA29E_13</vt:lpwstr>
  </property>
  <property fmtid="{D5CDD505-2E9C-101B-9397-08002B2CF9AE}" pid="4" name="KSOTemplateDocerSaveRecord">
    <vt:lpwstr>eyJoZGlkIjoiMjc1YWNhYmMzOTUwNzI5YTY2Njc1ODNmNjgxMGUyNjciLCJ1c2VySWQiOiIzMjQ5OTM5ODEifQ==</vt:lpwstr>
  </property>
</Properties>
</file>